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Pr>
        <w:jc w:val="center"/>
        <w:rPr>
          <w:rFonts w:hint="eastAsia" w:ascii="宋体" w:hAnsi="宋体"/>
          <w:b/>
          <w:sz w:val="44"/>
          <w:szCs w:val="44"/>
        </w:rPr>
      </w:pPr>
      <w:bookmarkStart w:id="0" w:name="_GoBack"/>
      <w:r>
        <w:rPr>
          <w:rFonts w:hint="eastAsia" w:ascii="宋体" w:hAnsi="宋体"/>
          <w:b/>
          <w:sz w:val="44"/>
          <w:szCs w:val="44"/>
        </w:rPr>
        <w:t>泉州市</w:t>
      </w:r>
      <w:r>
        <w:rPr>
          <w:rFonts w:ascii="宋体" w:hAnsi="宋体"/>
          <w:b/>
          <w:sz w:val="44"/>
          <w:szCs w:val="44"/>
        </w:rPr>
        <w:t>房屋建筑和市政基础设施工程</w:t>
      </w:r>
    </w:p>
    <w:p>
      <w:pPr>
        <w:jc w:val="center"/>
        <w:rPr>
          <w:rFonts w:ascii="宋体" w:hAnsi="宋体"/>
          <w:b/>
          <w:sz w:val="44"/>
          <w:szCs w:val="44"/>
        </w:rPr>
      </w:pPr>
      <w:r>
        <w:rPr>
          <w:rFonts w:ascii="宋体" w:hAnsi="宋体"/>
          <w:b/>
          <w:sz w:val="44"/>
          <w:szCs w:val="44"/>
        </w:rPr>
        <w:t>特殊性划分标准（试行</w:t>
      </w:r>
      <w:bookmarkEnd w:id="0"/>
      <w:r>
        <w:rPr>
          <w:rFonts w:ascii="宋体" w:hAnsi="宋体"/>
          <w:b/>
          <w:sz w:val="44"/>
          <w:szCs w:val="44"/>
        </w:rPr>
        <w:t>）</w:t>
      </w:r>
    </w:p>
    <w:tbl>
      <w:tblPr>
        <w:tblStyle w:val="4"/>
        <w:tblW w:w="9763" w:type="dxa"/>
        <w:jc w:val="center"/>
        <w:tblCellSpacing w:w="20"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
      <w:tblGrid>
        <w:gridCol w:w="1929"/>
        <w:gridCol w:w="1731"/>
        <w:gridCol w:w="6103"/>
      </w:tblGrid>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noWrap w:val="0"/>
            <w:vAlign w:val="center"/>
          </w:tcPr>
          <w:p>
            <w:pPr>
              <w:spacing w:line="300" w:lineRule="exact"/>
              <w:jc w:val="center"/>
              <w:rPr>
                <w:rFonts w:ascii="宋体" w:hAnsi="宋体"/>
                <w:b/>
                <w:szCs w:val="21"/>
              </w:rPr>
            </w:pPr>
            <w:r>
              <w:rPr>
                <w:rFonts w:ascii="宋体" w:hAnsi="宋体"/>
                <w:b/>
                <w:szCs w:val="21"/>
              </w:rPr>
              <w:t>承包方式</w:t>
            </w:r>
          </w:p>
        </w:tc>
        <w:tc>
          <w:tcPr>
            <w:tcW w:w="1691" w:type="dxa"/>
            <w:noWrap w:val="0"/>
            <w:vAlign w:val="center"/>
          </w:tcPr>
          <w:p>
            <w:pPr>
              <w:spacing w:line="300" w:lineRule="exact"/>
              <w:jc w:val="center"/>
              <w:rPr>
                <w:rFonts w:ascii="宋体" w:hAnsi="宋体"/>
                <w:b/>
                <w:szCs w:val="21"/>
              </w:rPr>
            </w:pPr>
            <w:r>
              <w:rPr>
                <w:rFonts w:ascii="宋体" w:hAnsi="宋体"/>
                <w:b/>
                <w:szCs w:val="21"/>
              </w:rPr>
              <w:t>工程类别</w:t>
            </w:r>
          </w:p>
        </w:tc>
        <w:tc>
          <w:tcPr>
            <w:tcW w:w="6043" w:type="dxa"/>
            <w:noWrap w:val="0"/>
            <w:vAlign w:val="center"/>
          </w:tcPr>
          <w:p>
            <w:pPr>
              <w:spacing w:line="300" w:lineRule="exact"/>
              <w:jc w:val="center"/>
              <w:rPr>
                <w:rFonts w:ascii="宋体" w:hAnsi="宋体"/>
                <w:b/>
                <w:szCs w:val="21"/>
              </w:rPr>
            </w:pPr>
            <w:r>
              <w:rPr>
                <w:rFonts w:ascii="宋体" w:hAnsi="宋体"/>
                <w:b/>
                <w:szCs w:val="21"/>
              </w:rPr>
              <w:t>工程特征指标</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restart"/>
            <w:noWrap w:val="0"/>
            <w:vAlign w:val="center"/>
          </w:tcPr>
          <w:p>
            <w:pPr>
              <w:spacing w:line="300" w:lineRule="exact"/>
              <w:jc w:val="center"/>
              <w:rPr>
                <w:rFonts w:ascii="宋体" w:hAnsi="宋体"/>
                <w:szCs w:val="21"/>
              </w:rPr>
            </w:pPr>
            <w:r>
              <w:rPr>
                <w:rFonts w:ascii="宋体" w:hAnsi="宋体"/>
                <w:szCs w:val="21"/>
              </w:rPr>
              <w:t>施工总承包</w:t>
            </w:r>
          </w:p>
        </w:tc>
        <w:tc>
          <w:tcPr>
            <w:tcW w:w="1691" w:type="dxa"/>
            <w:vMerge w:val="restart"/>
            <w:noWrap w:val="0"/>
            <w:vAlign w:val="center"/>
          </w:tcPr>
          <w:p>
            <w:pPr>
              <w:spacing w:line="300" w:lineRule="exact"/>
              <w:jc w:val="center"/>
              <w:rPr>
                <w:rFonts w:ascii="宋体" w:hAnsi="宋体"/>
                <w:szCs w:val="21"/>
              </w:rPr>
            </w:pPr>
            <w:r>
              <w:rPr>
                <w:rFonts w:ascii="宋体" w:hAnsi="宋体"/>
                <w:szCs w:val="21"/>
              </w:rPr>
              <w:t>建筑工程</w:t>
            </w:r>
          </w:p>
        </w:tc>
        <w:tc>
          <w:tcPr>
            <w:tcW w:w="6043" w:type="dxa"/>
            <w:noWrap w:val="0"/>
            <w:vAlign w:val="center"/>
          </w:tcPr>
          <w:p>
            <w:pPr>
              <w:spacing w:line="300" w:lineRule="exact"/>
              <w:rPr>
                <w:rFonts w:ascii="宋体" w:hAnsi="宋体"/>
                <w:szCs w:val="21"/>
              </w:rPr>
            </w:pPr>
            <w:r>
              <w:rPr>
                <w:rFonts w:ascii="宋体" w:hAnsi="宋体"/>
                <w:szCs w:val="21"/>
              </w:rPr>
              <w:t>高度100米以上的工业、民用建筑工程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ascii="宋体" w:hAnsi="宋体"/>
                <w:szCs w:val="21"/>
              </w:rPr>
              <w:t>高度120米以上的构筑物工程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ascii="宋体" w:hAnsi="宋体"/>
                <w:szCs w:val="21"/>
              </w:rPr>
              <w:t>单跨跨度39米以上的建筑工程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ascii="宋体" w:hAnsi="宋体"/>
                <w:szCs w:val="21"/>
              </w:rPr>
              <w:t>单体建筑面积4万平方米以上的工业、民用建筑工程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ascii="宋体" w:hAnsi="宋体"/>
                <w:szCs w:val="21"/>
              </w:rPr>
              <w:t>地下三层及以上的大型地下建筑工程（含房屋建筑工程的地下室工程）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ascii="宋体" w:hAnsi="宋体"/>
                <w:szCs w:val="21"/>
              </w:rPr>
              <w:t>单体建筑面积3000平方米以上的装配式混凝土建筑工程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hint="eastAsia" w:ascii="宋体" w:hAnsi="MS Mincho" w:eastAsia="MS Mincho" w:cs="MS Mincho"/>
                <w:szCs w:val="21"/>
              </w:rPr>
              <w:t>✱</w:t>
            </w:r>
            <w:r>
              <w:rPr>
                <w:rFonts w:hint="eastAsia" w:ascii="宋体" w:hAnsi="宋体"/>
                <w:szCs w:val="21"/>
              </w:rPr>
              <w:t>单体建筑面积3000平方米以上采用装配式竖向预制柱、剪力墙体系的混凝土建筑工程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hint="eastAsia" w:ascii="宋体" w:hAnsi="MS Mincho" w:eastAsia="MS Mincho" w:cs="MS Mincho"/>
                <w:szCs w:val="21"/>
              </w:rPr>
              <w:t>✱</w:t>
            </w:r>
            <w:r>
              <w:rPr>
                <w:rFonts w:hint="eastAsia" w:ascii="宋体" w:hAnsi="宋体"/>
                <w:szCs w:val="21"/>
              </w:rPr>
              <w:t>单体建筑面积3000平方米以上的装配式钢结构（钢-混凝土组合结构）建筑工程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hint="eastAsia" w:ascii="宋体" w:hAnsi="MS Mincho" w:eastAsia="MS Mincho" w:cs="MS Mincho"/>
                <w:szCs w:val="21"/>
              </w:rPr>
              <w:t>✱</w:t>
            </w:r>
            <w:r>
              <w:rPr>
                <w:rFonts w:hint="eastAsia" w:ascii="宋体" w:hAnsi="宋体"/>
                <w:szCs w:val="21"/>
              </w:rPr>
              <w:t>单体建筑面积3000平方米以上采用装配式一星级及以上等级的建筑工程（注2）</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hint="eastAsia" w:ascii="宋体" w:hAnsi="MS Mincho" w:eastAsia="MS Mincho" w:cs="MS Mincho"/>
                <w:szCs w:val="21"/>
              </w:rPr>
              <w:t>✱</w:t>
            </w:r>
            <w:r>
              <w:rPr>
                <w:rFonts w:hint="eastAsia" w:ascii="宋体" w:hAnsi="宋体"/>
                <w:szCs w:val="21"/>
              </w:rPr>
              <w:t>用钢量5000吨以上的钢结构建筑工程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restart"/>
            <w:noWrap w:val="0"/>
            <w:vAlign w:val="center"/>
          </w:tcPr>
          <w:p>
            <w:pPr>
              <w:spacing w:line="300" w:lineRule="exact"/>
              <w:jc w:val="center"/>
              <w:rPr>
                <w:rFonts w:ascii="宋体" w:hAnsi="宋体"/>
                <w:szCs w:val="21"/>
              </w:rPr>
            </w:pPr>
            <w:r>
              <w:rPr>
                <w:rFonts w:ascii="宋体" w:hAnsi="宋体"/>
                <w:szCs w:val="21"/>
              </w:rPr>
              <w:t>市政公用工程</w:t>
            </w:r>
          </w:p>
        </w:tc>
        <w:tc>
          <w:tcPr>
            <w:tcW w:w="6043" w:type="dxa"/>
            <w:noWrap w:val="0"/>
            <w:vAlign w:val="center"/>
          </w:tcPr>
          <w:p>
            <w:pPr>
              <w:spacing w:line="300" w:lineRule="exact"/>
              <w:rPr>
                <w:rFonts w:ascii="宋体" w:hAnsi="宋体"/>
                <w:szCs w:val="21"/>
              </w:rPr>
            </w:pPr>
            <w:r>
              <w:rPr>
                <w:rFonts w:ascii="宋体" w:hAnsi="宋体"/>
                <w:szCs w:val="21"/>
              </w:rPr>
              <w:t>单跨跨度45米以上或长度100米以上的城市桥梁工程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ascii="宋体" w:hAnsi="宋体"/>
                <w:szCs w:val="21"/>
              </w:rPr>
              <w:t>断面25平方米以上或长度100米以上的隧道工程（地下交通工程）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ascii="宋体" w:hAnsi="宋体"/>
                <w:szCs w:val="21"/>
              </w:rPr>
              <w:t>15万吨/日以上的净水厂</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ascii="宋体" w:hAnsi="宋体"/>
                <w:szCs w:val="21"/>
              </w:rPr>
              <w:t>10万吨/日以上污水处理厂</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ascii="宋体" w:hAnsi="宋体"/>
                <w:szCs w:val="21"/>
              </w:rPr>
              <w:t>中压以上燃气管道、调压站</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ascii="宋体" w:hAnsi="宋体"/>
                <w:szCs w:val="21"/>
              </w:rPr>
              <w:t>1000吨/日以上的垃圾处理厂（场）</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ascii="宋体" w:hAnsi="宋体"/>
                <w:szCs w:val="21"/>
              </w:rPr>
              <w:t>单舱截面面积10平方米以上且采用预制构件的装配式综合管廊工程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restart"/>
            <w:noWrap w:val="0"/>
            <w:vAlign w:val="center"/>
          </w:tcPr>
          <w:p>
            <w:pPr>
              <w:spacing w:line="300" w:lineRule="exact"/>
              <w:rPr>
                <w:rFonts w:ascii="宋体" w:hAnsi="宋体"/>
                <w:szCs w:val="21"/>
              </w:rPr>
            </w:pPr>
            <w:r>
              <w:rPr>
                <w:rFonts w:ascii="宋体" w:hAnsi="宋体"/>
                <w:szCs w:val="21"/>
              </w:rPr>
              <w:t>单独立项的专业工程、以暂估价形式包含在工程总承包或者施工总承包范围内且达到法定必须招标的专业工程</w:t>
            </w:r>
          </w:p>
        </w:tc>
        <w:tc>
          <w:tcPr>
            <w:tcW w:w="1691" w:type="dxa"/>
            <w:noWrap w:val="0"/>
            <w:vAlign w:val="center"/>
          </w:tcPr>
          <w:p>
            <w:pPr>
              <w:spacing w:line="300" w:lineRule="exact"/>
              <w:jc w:val="center"/>
              <w:rPr>
                <w:rFonts w:ascii="宋体" w:hAnsi="宋体"/>
                <w:szCs w:val="21"/>
              </w:rPr>
            </w:pPr>
            <w:r>
              <w:rPr>
                <w:rFonts w:ascii="宋体" w:hAnsi="宋体"/>
                <w:szCs w:val="21"/>
              </w:rPr>
              <w:t>电子与智能化工程</w:t>
            </w:r>
          </w:p>
        </w:tc>
        <w:tc>
          <w:tcPr>
            <w:tcW w:w="6043" w:type="dxa"/>
            <w:noWrap w:val="0"/>
            <w:vAlign w:val="center"/>
          </w:tcPr>
          <w:p>
            <w:pPr>
              <w:spacing w:line="300" w:lineRule="exact"/>
              <w:rPr>
                <w:rFonts w:ascii="宋体" w:hAnsi="宋体"/>
                <w:szCs w:val="21"/>
              </w:rPr>
            </w:pPr>
            <w:r>
              <w:rPr>
                <w:rFonts w:ascii="宋体" w:hAnsi="宋体"/>
                <w:szCs w:val="21"/>
              </w:rPr>
              <w:t>招标控制价3000万元以上的电子系统工程和建筑智能化工程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noWrap w:val="0"/>
            <w:vAlign w:val="center"/>
          </w:tcPr>
          <w:p>
            <w:pPr>
              <w:spacing w:line="300" w:lineRule="exact"/>
              <w:jc w:val="center"/>
              <w:rPr>
                <w:rFonts w:ascii="宋体" w:hAnsi="宋体"/>
                <w:szCs w:val="21"/>
              </w:rPr>
            </w:pPr>
            <w:r>
              <w:rPr>
                <w:rFonts w:ascii="宋体" w:hAnsi="宋体"/>
                <w:szCs w:val="21"/>
              </w:rPr>
              <w:t>消防设施工程</w:t>
            </w:r>
          </w:p>
        </w:tc>
        <w:tc>
          <w:tcPr>
            <w:tcW w:w="6043" w:type="dxa"/>
            <w:noWrap w:val="0"/>
            <w:vAlign w:val="center"/>
          </w:tcPr>
          <w:p>
            <w:pPr>
              <w:spacing w:line="300" w:lineRule="exact"/>
              <w:rPr>
                <w:rFonts w:ascii="宋体" w:hAnsi="宋体"/>
                <w:szCs w:val="21"/>
              </w:rPr>
            </w:pPr>
            <w:r>
              <w:rPr>
                <w:rFonts w:ascii="宋体" w:hAnsi="宋体"/>
                <w:szCs w:val="21"/>
              </w:rPr>
              <w:t>单体建筑面积6万平方米以上的工业建筑工程或单体建筑面积6万平方米以上的一类高层民用建筑工程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noWrap w:val="0"/>
            <w:vAlign w:val="center"/>
          </w:tcPr>
          <w:p>
            <w:pPr>
              <w:spacing w:line="300" w:lineRule="exact"/>
              <w:jc w:val="center"/>
              <w:rPr>
                <w:rFonts w:ascii="宋体" w:hAnsi="宋体"/>
                <w:szCs w:val="21"/>
              </w:rPr>
            </w:pPr>
            <w:r>
              <w:rPr>
                <w:rFonts w:ascii="宋体" w:hAnsi="宋体"/>
                <w:szCs w:val="21"/>
              </w:rPr>
              <w:t>钢结构工程</w:t>
            </w:r>
          </w:p>
        </w:tc>
        <w:tc>
          <w:tcPr>
            <w:tcW w:w="6043" w:type="dxa"/>
            <w:noWrap w:val="0"/>
            <w:vAlign w:val="center"/>
          </w:tcPr>
          <w:p>
            <w:pPr>
              <w:spacing w:line="300" w:lineRule="exact"/>
              <w:rPr>
                <w:rFonts w:ascii="宋体" w:hAnsi="宋体"/>
                <w:szCs w:val="21"/>
              </w:rPr>
            </w:pPr>
            <w:r>
              <w:rPr>
                <w:rFonts w:ascii="宋体" w:hAnsi="宋体"/>
                <w:szCs w:val="21"/>
              </w:rPr>
              <w:t>短向跨度（或直径）90米以上的网壳、网架结构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restart"/>
            <w:noWrap w:val="0"/>
            <w:vAlign w:val="center"/>
          </w:tcPr>
          <w:p>
            <w:pPr>
              <w:spacing w:line="300" w:lineRule="exact"/>
              <w:jc w:val="center"/>
              <w:rPr>
                <w:rFonts w:ascii="宋体" w:hAnsi="宋体"/>
                <w:szCs w:val="21"/>
              </w:rPr>
            </w:pPr>
            <w:r>
              <w:rPr>
                <w:rFonts w:ascii="宋体" w:hAnsi="宋体"/>
                <w:szCs w:val="21"/>
              </w:rPr>
              <w:t>建筑装修装饰工程</w:t>
            </w:r>
          </w:p>
        </w:tc>
        <w:tc>
          <w:tcPr>
            <w:tcW w:w="6043" w:type="dxa"/>
            <w:noWrap w:val="0"/>
            <w:vAlign w:val="center"/>
          </w:tcPr>
          <w:p>
            <w:pPr>
              <w:spacing w:line="300" w:lineRule="exact"/>
              <w:rPr>
                <w:rFonts w:ascii="宋体" w:hAnsi="宋体"/>
                <w:szCs w:val="21"/>
              </w:rPr>
            </w:pPr>
            <w:r>
              <w:rPr>
                <w:rFonts w:ascii="宋体" w:hAnsi="宋体"/>
                <w:szCs w:val="21"/>
              </w:rPr>
              <w:t>单体公共建筑装修面积2万平方米以上或招标控制价3000万元以上的公共建筑装修工程</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hint="eastAsia" w:ascii="宋体" w:hAnsi="MS Mincho" w:eastAsia="MS Mincho" w:cs="MS Mincho"/>
                <w:szCs w:val="21"/>
              </w:rPr>
              <w:t>✱</w:t>
            </w:r>
            <w:r>
              <w:rPr>
                <w:rFonts w:hint="eastAsia" w:ascii="宋体" w:hAnsi="宋体"/>
                <w:szCs w:val="21"/>
              </w:rPr>
              <w:t>单体公共建筑装修面积2万平方米以上或招标控制价3000万元以上采用装配式装修体系的公共建筑装修工程（注3）</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vMerge w:val="continue"/>
            <w:noWrap w:val="0"/>
            <w:vAlign w:val="center"/>
          </w:tcPr>
          <w:p>
            <w:pPr>
              <w:widowControl/>
              <w:spacing w:line="300" w:lineRule="exact"/>
              <w:jc w:val="left"/>
              <w:rPr>
                <w:rFonts w:ascii="宋体" w:hAnsi="宋体"/>
                <w:szCs w:val="21"/>
              </w:rPr>
            </w:pPr>
          </w:p>
        </w:tc>
        <w:tc>
          <w:tcPr>
            <w:tcW w:w="6043" w:type="dxa"/>
            <w:noWrap w:val="0"/>
            <w:vAlign w:val="center"/>
          </w:tcPr>
          <w:p>
            <w:pPr>
              <w:spacing w:line="300" w:lineRule="exact"/>
              <w:rPr>
                <w:rFonts w:ascii="宋体" w:hAnsi="宋体"/>
                <w:szCs w:val="21"/>
              </w:rPr>
            </w:pPr>
            <w:r>
              <w:rPr>
                <w:rFonts w:hint="eastAsia" w:ascii="宋体" w:hAnsi="MS Mincho" w:eastAsia="MS Mincho" w:cs="MS Mincho"/>
                <w:szCs w:val="21"/>
              </w:rPr>
              <w:t>✱</w:t>
            </w:r>
            <w:r>
              <w:rPr>
                <w:rFonts w:hint="eastAsia" w:ascii="宋体" w:hAnsi="宋体"/>
                <w:szCs w:val="21"/>
              </w:rPr>
              <w:t>住宅建筑装修招标控制价3000万元以上采用装配式装修体系的住宅建筑装修工程（注3）</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0" w:type="dxa"/>
            <w:bottom w:w="0" w:type="dxa"/>
            <w:right w:w="0" w:type="dxa"/>
          </w:tblCellMar>
        </w:tblPrEx>
        <w:trPr>
          <w:trHeight w:val="680" w:hRule="exact"/>
          <w:tblCellSpacing w:w="20" w:type="dxa"/>
          <w:jc w:val="center"/>
        </w:trPr>
        <w:tc>
          <w:tcPr>
            <w:tcW w:w="1869" w:type="dxa"/>
            <w:vMerge w:val="continue"/>
            <w:noWrap w:val="0"/>
            <w:vAlign w:val="center"/>
          </w:tcPr>
          <w:p>
            <w:pPr>
              <w:widowControl/>
              <w:spacing w:line="300" w:lineRule="exact"/>
              <w:jc w:val="left"/>
              <w:rPr>
                <w:rFonts w:ascii="宋体" w:hAnsi="宋体"/>
                <w:szCs w:val="21"/>
              </w:rPr>
            </w:pPr>
          </w:p>
        </w:tc>
        <w:tc>
          <w:tcPr>
            <w:tcW w:w="1691" w:type="dxa"/>
            <w:noWrap w:val="0"/>
            <w:vAlign w:val="center"/>
          </w:tcPr>
          <w:p>
            <w:pPr>
              <w:spacing w:line="300" w:lineRule="exact"/>
              <w:jc w:val="center"/>
              <w:rPr>
                <w:rFonts w:ascii="宋体" w:hAnsi="宋体"/>
                <w:szCs w:val="21"/>
              </w:rPr>
            </w:pPr>
            <w:r>
              <w:rPr>
                <w:rFonts w:ascii="宋体" w:hAnsi="宋体"/>
                <w:szCs w:val="21"/>
              </w:rPr>
              <w:t>建筑幕墙工程</w:t>
            </w:r>
          </w:p>
        </w:tc>
        <w:tc>
          <w:tcPr>
            <w:tcW w:w="6043" w:type="dxa"/>
            <w:noWrap w:val="0"/>
            <w:vAlign w:val="center"/>
          </w:tcPr>
          <w:p>
            <w:pPr>
              <w:spacing w:line="300" w:lineRule="exact"/>
              <w:rPr>
                <w:rFonts w:ascii="宋体" w:hAnsi="宋体"/>
                <w:szCs w:val="21"/>
              </w:rPr>
            </w:pPr>
            <w:r>
              <w:rPr>
                <w:rFonts w:ascii="宋体" w:hAnsi="宋体"/>
                <w:szCs w:val="21"/>
              </w:rPr>
              <w:t>单体建筑工程幕墙面积1.5万平方米以上的建筑幕墙工程</w:t>
            </w:r>
          </w:p>
        </w:tc>
      </w:tr>
    </w:tbl>
    <w:p>
      <w:pPr>
        <w:spacing w:line="360" w:lineRule="exact"/>
        <w:rPr>
          <w:rFonts w:ascii="宋体" w:hAnsi="宋体"/>
          <w:sz w:val="24"/>
        </w:rPr>
      </w:pPr>
      <w:r>
        <w:rPr>
          <w:rFonts w:hint="eastAsia" w:ascii="宋体" w:hAnsi="宋体"/>
          <w:sz w:val="24"/>
        </w:rPr>
        <w:t>注：</w:t>
      </w:r>
    </w:p>
    <w:p>
      <w:pPr>
        <w:spacing w:line="360" w:lineRule="exact"/>
        <w:ind w:left="359" w:hanging="361" w:hangingChars="163"/>
        <w:rPr>
          <w:rFonts w:hint="eastAsia" w:ascii="宋体" w:hAnsi="宋体"/>
          <w:sz w:val="24"/>
        </w:rPr>
      </w:pPr>
      <w:r>
        <w:rPr>
          <w:rFonts w:hint="eastAsia" w:ascii="宋体" w:hAnsi="宋体"/>
          <w:sz w:val="24"/>
        </w:rPr>
        <w:t>1. 本标准的“以上”均包含本数。公共建筑涵盖范围，依据《福建省建筑装修管理暂行办法》规定。</w:t>
      </w:r>
    </w:p>
    <w:p>
      <w:pPr>
        <w:spacing w:line="360" w:lineRule="exact"/>
        <w:ind w:left="322" w:hanging="323" w:hangingChars="146"/>
        <w:rPr>
          <w:rFonts w:hint="eastAsia" w:ascii="宋体" w:hAnsi="宋体"/>
          <w:sz w:val="24"/>
        </w:rPr>
      </w:pPr>
      <w:r>
        <w:rPr>
          <w:rFonts w:hint="eastAsia" w:ascii="宋体" w:hAnsi="宋体"/>
          <w:sz w:val="24"/>
        </w:rPr>
        <w:t>2. 或根据现行《装配式建筑评价标准》（GB/T51129）评价的项目为A级及以上等级的建筑工程。</w:t>
      </w:r>
    </w:p>
    <w:p>
      <w:pPr>
        <w:spacing w:line="360" w:lineRule="exact"/>
        <w:ind w:left="322" w:hanging="323" w:hangingChars="146"/>
        <w:rPr>
          <w:rFonts w:hint="eastAsia" w:ascii="宋体" w:hAnsi="宋体"/>
          <w:sz w:val="24"/>
        </w:rPr>
      </w:pPr>
      <w:r>
        <w:rPr>
          <w:rFonts w:hint="eastAsia" w:ascii="宋体" w:hAnsi="宋体"/>
          <w:sz w:val="24"/>
        </w:rPr>
        <w:t>3. 可由设计院（工程总承包企业）牵头有关单位和部品部件生产企业组成联合体形式。</w:t>
      </w:r>
    </w:p>
    <w:p>
      <w:pPr>
        <w:spacing w:line="360" w:lineRule="exact"/>
        <w:ind w:left="322" w:hanging="323" w:hangingChars="146"/>
        <w:rPr>
          <w:rFonts w:hint="eastAsia" w:ascii="宋体" w:hAnsi="宋体"/>
          <w:sz w:val="24"/>
        </w:rPr>
      </w:pPr>
      <w:r>
        <w:rPr>
          <w:rFonts w:hint="eastAsia" w:ascii="宋体" w:hAnsi="宋体"/>
          <w:sz w:val="24"/>
        </w:rPr>
        <w:t>4. 投标人提供的类似业绩为在福建省行政区域外完成的，必须能够通过住房和城乡建设部门户网站的全国建筑市场监管公共服务平台查询得到；在福建省行政区域内完成的，必须能够通过福建省住房城乡建设网的福建省建设行业信息公开平台查询得到。且查询到的数据应能满足本招标工程的类似业绩指标要求。装配式建筑应同时提交设区市住建主管部门出具的《装配式建筑施工阶段认定意见》。</w:t>
      </w:r>
    </w:p>
    <w:p>
      <w:pPr>
        <w:spacing w:line="360" w:lineRule="exact"/>
        <w:ind w:left="322" w:hanging="323" w:hangingChars="146"/>
        <w:rPr>
          <w:rFonts w:hint="eastAsia" w:ascii="宋体" w:hAnsi="宋体"/>
          <w:sz w:val="24"/>
        </w:rPr>
      </w:pPr>
      <w:r>
        <w:rPr>
          <w:rFonts w:hint="eastAsia" w:ascii="宋体" w:hAnsi="宋体"/>
          <w:sz w:val="24"/>
        </w:rPr>
        <w:t xml:space="preserve">5. </w:t>
      </w:r>
      <w:r>
        <w:rPr>
          <w:rFonts w:hint="eastAsia" w:ascii="MS Mincho" w:hAnsi="MS Mincho" w:eastAsia="MS Mincho" w:cs="MS Mincho"/>
          <w:sz w:val="24"/>
        </w:rPr>
        <w:t>✱</w:t>
      </w:r>
      <w:r>
        <w:rPr>
          <w:rFonts w:hint="eastAsia" w:ascii="宋体" w:hAnsi="宋体"/>
          <w:sz w:val="24"/>
        </w:rPr>
        <w:t>为泉州市新增的工程特征指标，其余部分为《福建省房屋建筑和市政基础设施工程特殊性划分标准（试行）》中的工程特征指标。</w:t>
      </w:r>
    </w:p>
    <w:p>
      <w:pPr>
        <w:spacing w:line="540" w:lineRule="exact"/>
        <w:ind w:right="204" w:rightChars="107"/>
        <w:rPr>
          <w:rFonts w:hint="eastAsia" w:ascii="仿宋_GB2312" w:eastAsia="仿宋_GB2312"/>
          <w:sz w:val="24"/>
        </w:rPr>
      </w:pPr>
    </w:p>
    <w:p>
      <w:pPr>
        <w:spacing w:line="540" w:lineRule="exact"/>
        <w:ind w:right="204" w:rightChars="107"/>
        <w:rPr>
          <w:rFonts w:hint="eastAsia" w:ascii="仿宋_GB2312" w:eastAsia="仿宋_GB2312"/>
          <w:sz w:val="24"/>
        </w:rPr>
      </w:pPr>
    </w:p>
    <w:p>
      <w:pPr>
        <w:spacing w:line="540" w:lineRule="exact"/>
        <w:ind w:right="204" w:rightChars="107"/>
        <w:rPr>
          <w:rFonts w:hint="eastAsia" w:ascii="仿宋_GB2312" w:eastAsia="仿宋_GB2312"/>
          <w:sz w:val="24"/>
        </w:rPr>
      </w:pPr>
    </w:p>
    <w:p>
      <w:pPr>
        <w:spacing w:line="540" w:lineRule="exact"/>
        <w:ind w:right="204" w:rightChars="107"/>
        <w:rPr>
          <w:rFonts w:hint="eastAsia" w:ascii="仿宋_GB2312" w:hAnsi="仿宋" w:eastAsia="仿宋_GB2312"/>
          <w:sz w:val="32"/>
          <w:szCs w:val="32"/>
        </w:rPr>
      </w:pPr>
    </w:p>
    <w:sectPr>
      <w:footerReference r:id="rId3" w:type="default"/>
      <w:footerReference r:id="rId4" w:type="even"/>
      <w:pgSz w:w="11906" w:h="16838"/>
      <w:pgMar w:top="2098" w:right="1644" w:bottom="1701" w:left="1701" w:header="851" w:footer="992" w:gutter="0"/>
      <w:pgNumType w:fmt="numberInDash"/>
      <w:cols w:space="720" w:num="1"/>
      <w:docGrid w:type="linesAndChars" w:linePitch="579" w:charSpace="-40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仿宋_GB2312" w:eastAsia="仿宋_GB2312"/>
        <w:sz w:val="28"/>
        <w:szCs w:val="28"/>
      </w:rPr>
    </w:pP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lang/>
      </w:rPr>
      <w:t>- 5 -</w:t>
    </w:r>
    <w:r>
      <w:rPr>
        <w:rFonts w:hint="eastAsia" w:ascii="仿宋_GB2312" w:eastAsia="仿宋_GB2312"/>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AEC"/>
    <w:rsid w:val="00416221"/>
    <w:rsid w:val="00750F97"/>
    <w:rsid w:val="00EF4AEC"/>
    <w:rsid w:val="01B956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5">
    <w:name w:val="Default Paragraph Font"/>
    <w:link w:val="6"/>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link w:val="8"/>
    <w:uiPriority w:val="0"/>
    <w:pPr>
      <w:tabs>
        <w:tab w:val="center" w:pos="4153"/>
        <w:tab w:val="right" w:pos="8306"/>
      </w:tabs>
      <w:snapToGrid w:val="0"/>
      <w:jc w:val="left"/>
    </w:pPr>
    <w:rPr>
      <w:sz w:val="18"/>
      <w:szCs w:val="18"/>
    </w:rPr>
  </w:style>
  <w:style w:type="paragraph" w:customStyle="1" w:styleId="6">
    <w:name w:val="Char Char Char Char Char Char Char Char Char Char"/>
    <w:basedOn w:val="1"/>
    <w:link w:val="5"/>
    <w:uiPriority w:val="0"/>
    <w:rPr>
      <w:rFonts w:ascii="Tahoma" w:hAnsi="Tahoma" w:eastAsia="楷体_GB2312"/>
      <w:spacing w:val="10"/>
      <w:sz w:val="24"/>
      <w:szCs w:val="20"/>
    </w:rPr>
  </w:style>
  <w:style w:type="character" w:styleId="7">
    <w:name w:val="page number"/>
    <w:basedOn w:val="5"/>
    <w:uiPriority w:val="0"/>
  </w:style>
  <w:style w:type="character" w:customStyle="1" w:styleId="8">
    <w:name w:val=" Char Char"/>
    <w:basedOn w:val="5"/>
    <w:link w:val="3"/>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293</Words>
  <Characters>1675</Characters>
  <Lines>13</Lines>
  <Paragraphs>3</Paragraphs>
  <TotalTime>4</TotalTime>
  <ScaleCrop>false</ScaleCrop>
  <LinksUpToDate>false</LinksUpToDate>
  <CharactersWithSpaces>1965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2022-08-09T08:27:00Z</dcterms:created>
  <dc:creator>刘一谊/办公室</dc:creator>
  <cp:lastModifiedBy>Administrator</cp:lastModifiedBy>
  <dcterms:modified xsi:type="dcterms:W3CDTF">2022-08-29T07:47:51Z</dcterms:modified>
  <dc:title>泉建筑〔2022〕45号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