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both"/>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r>
        <w:rPr>
          <w:rFonts w:hint="eastAsia" w:ascii="宋体" w:hAnsi="宋体" w:eastAsia="宋体" w:cs="宋体"/>
          <w:spacing w:val="0"/>
          <w:w w:val="100"/>
          <w:kern w:val="2"/>
          <w:position w:val="0"/>
          <w:sz w:val="32"/>
          <w:szCs w:val="32"/>
          <w:u w:val="none"/>
          <w:shd w:val="clear" w:color="auto" w:fill="auto"/>
          <w:lang w:val="en-US" w:eastAsia="zh-CN" w:bidi="ar-SA"/>
        </w:rPr>
        <w:t>泉建价协[2023]15号</w:t>
      </w: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spacing w:val="0"/>
          <w:w w:val="100"/>
          <w:kern w:val="2"/>
          <w:position w:val="0"/>
          <w:sz w:val="32"/>
          <w:szCs w:val="32"/>
          <w:u w:val="none"/>
          <w:shd w:val="clear" w:color="auto" w:fill="auto"/>
          <w:lang w:val="en-US" w:eastAsia="zh-CN" w:bidi="ar-SA"/>
        </w:rPr>
      </w:pPr>
    </w:p>
    <w:p>
      <w:pPr>
        <w:keepNext w:val="0"/>
        <w:keepLines w:val="0"/>
        <w:widowControl/>
        <w:suppressLineNumbers w:val="0"/>
        <w:jc w:val="center"/>
        <w:rPr>
          <w:rFonts w:hint="eastAsia" w:ascii="宋体" w:hAnsi="宋体" w:eastAsia="宋体" w:cs="宋体"/>
          <w:color w:val="000000"/>
          <w:spacing w:val="0"/>
          <w:w w:val="100"/>
          <w:kern w:val="0"/>
          <w:position w:val="0"/>
          <w:sz w:val="44"/>
          <w:szCs w:val="44"/>
          <w:shd w:val="clear" w:color="auto" w:fill="auto"/>
          <w:lang w:val="en-US" w:eastAsia="zh-CN" w:bidi="ar"/>
        </w:rPr>
      </w:pPr>
      <w:r>
        <w:rPr>
          <w:rFonts w:hint="eastAsia" w:ascii="宋体" w:hAnsi="宋体" w:eastAsia="宋体" w:cs="宋体"/>
          <w:color w:val="000000"/>
          <w:spacing w:val="0"/>
          <w:w w:val="100"/>
          <w:kern w:val="0"/>
          <w:position w:val="0"/>
          <w:sz w:val="44"/>
          <w:szCs w:val="44"/>
          <w:shd w:val="clear" w:color="auto" w:fill="auto"/>
          <w:lang w:val="en-US" w:eastAsia="zh-CN" w:bidi="ar"/>
        </w:rPr>
        <w:t>泉州市建设工程造价管理协会造价专业</w:t>
      </w:r>
    </w:p>
    <w:p>
      <w:pPr>
        <w:keepNext w:val="0"/>
        <w:keepLines w:val="0"/>
        <w:widowControl/>
        <w:suppressLineNumbers w:val="0"/>
        <w:jc w:val="center"/>
        <w:rPr>
          <w:sz w:val="44"/>
          <w:szCs w:val="44"/>
        </w:rPr>
      </w:pPr>
      <w:r>
        <w:rPr>
          <w:rFonts w:hint="eastAsia" w:ascii="宋体" w:hAnsi="宋体" w:eastAsia="宋体" w:cs="宋体"/>
          <w:color w:val="000000"/>
          <w:spacing w:val="0"/>
          <w:w w:val="100"/>
          <w:kern w:val="0"/>
          <w:position w:val="0"/>
          <w:sz w:val="44"/>
          <w:szCs w:val="44"/>
          <w:shd w:val="clear" w:color="auto" w:fill="auto"/>
          <w:lang w:val="en-US" w:eastAsia="zh-CN" w:bidi="ar"/>
        </w:rPr>
        <w:t>人才库管理暂行办法</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第一条 为促进协会行业自律及可持续发展，在协会内组建造价专业人才库。为加强人才库的自律、规范、管理工作，特制定本办法。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第二条 造价专业人才成员一切活动按照《泉州市建设工程造价管理协会章程》所规定的服务宗旨和业务范围开展活动。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第三条 造价专业人才由任职于协会会员单位（工程造价管理、造价咨询、建设、施工、房地产、财政评审、设计、院校、律师事务所等企业、事业单位）且从事建设工程造价相关工作的专业人员选聘组成。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造价专业人才分为各个专业小组(建筑、装修、抽筋、安装、市政、公路、水利、古建筑、加固工程、特殊工程等）。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第四条 造价专业人才本着实事求是，客观公正、诚实守信原则开展工作。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第五条 协会秘书处负责造价专业人才库管理工作。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第六条 造价专业人才库实行聘任制，每届聘任期为四年，按照动态管理，分期、分步健全到位的指导思想适时调整。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第七条 造价专业人才主要工作范围：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（一）接受协会委托对差异化管理的项目进行审核;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（二）接受协会委托对造价纠纷进行工程量计算等基础工作;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（三）其他事情。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第八条 造价专业人才应具备的条件：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（一）本人自愿申请、身体健康、所在单位推荐同意、履行协会管理暂行办法。 </w:t>
      </w:r>
    </w:p>
    <w:p>
      <w:pPr>
        <w:pageBreakBefore w:val="0"/>
        <w:widowControl w:val="0"/>
        <w:tabs>
          <w:tab w:val="left" w:pos="1080"/>
        </w:tabs>
        <w:kinsoku/>
        <w:wordWrap/>
        <w:overflowPunct/>
        <w:topLinePunct w:val="0"/>
        <w:autoSpaceDE/>
        <w:autoSpaceDN/>
        <w:bidi w:val="0"/>
        <w:snapToGrid w:val="0"/>
        <w:spacing w:line="360" w:lineRule="auto"/>
        <w:ind w:left="0" w:leftChars="0" w:right="0" w:righ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（二） </w:t>
      </w:r>
      <w:r>
        <w:rPr>
          <w:rFonts w:hint="eastAsia" w:ascii="仿宋" w:hAnsi="仿宋" w:eastAsia="仿宋" w:cs="仿宋"/>
          <w:color w:val="auto"/>
          <w:sz w:val="32"/>
          <w:szCs w:val="32"/>
          <w:highlight w:val="none"/>
        </w:rPr>
        <w:t>持经济类或建筑类助理职称以上</w:t>
      </w:r>
      <w:r>
        <w:rPr>
          <w:rFonts w:hint="eastAsia" w:ascii="仿宋" w:hAnsi="仿宋" w:eastAsia="仿宋" w:cs="仿宋"/>
          <w:color w:val="auto"/>
          <w:sz w:val="32"/>
          <w:szCs w:val="32"/>
          <w:highlight w:val="none"/>
          <w:lang w:eastAsia="zh-CN"/>
        </w:rPr>
        <w:t>或有二级及以上造价师证书</w:t>
      </w:r>
      <w:r>
        <w:rPr>
          <w:rFonts w:hint="eastAsia" w:ascii="仿宋" w:hAnsi="仿宋" w:eastAsia="仿宋" w:cs="仿宋"/>
          <w:color w:val="auto"/>
          <w:sz w:val="32"/>
          <w:szCs w:val="32"/>
          <w:highlight w:val="none"/>
        </w:rPr>
        <w:t>；</w:t>
      </w:r>
    </w:p>
    <w:p>
      <w:pPr>
        <w:pageBreakBefore w:val="0"/>
        <w:widowControl w:val="0"/>
        <w:tabs>
          <w:tab w:val="left" w:pos="1080"/>
        </w:tabs>
        <w:kinsoku/>
        <w:wordWrap/>
        <w:overflowPunct/>
        <w:topLinePunct w:val="0"/>
        <w:autoSpaceDE/>
        <w:autoSpaceDN/>
        <w:bidi w:val="0"/>
        <w:snapToGrid w:val="0"/>
        <w:spacing w:line="360" w:lineRule="auto"/>
        <w:ind w:left="0" w:leftChars="0" w:right="0" w:rightChars="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熟悉工程定额</w:t>
      </w:r>
      <w:r>
        <w:rPr>
          <w:rFonts w:hint="eastAsia" w:ascii="仿宋" w:hAnsi="仿宋" w:eastAsia="仿宋" w:cs="仿宋"/>
          <w:color w:val="auto"/>
          <w:sz w:val="32"/>
          <w:szCs w:val="32"/>
          <w:highlight w:val="none"/>
          <w:lang w:eastAsia="zh-CN"/>
        </w:rPr>
        <w:t>、能够独立</w:t>
      </w:r>
      <w:r>
        <w:rPr>
          <w:rFonts w:hint="eastAsia" w:ascii="仿宋" w:hAnsi="仿宋" w:eastAsia="仿宋" w:cs="仿宋"/>
          <w:color w:val="auto"/>
          <w:sz w:val="32"/>
          <w:szCs w:val="32"/>
          <w:highlight w:val="none"/>
        </w:rPr>
        <w:t>完成工程预</w:t>
      </w:r>
      <w:r>
        <w:rPr>
          <w:rFonts w:hint="eastAsia" w:ascii="仿宋" w:hAnsi="仿宋" w:eastAsia="仿宋" w:cs="仿宋"/>
          <w:color w:val="auto"/>
          <w:sz w:val="32"/>
          <w:szCs w:val="32"/>
          <w:highlight w:val="none"/>
          <w:lang w:eastAsia="zh-CN"/>
        </w:rPr>
        <w:t>结算</w:t>
      </w:r>
      <w:r>
        <w:rPr>
          <w:rFonts w:hint="eastAsia" w:ascii="仿宋" w:hAnsi="仿宋" w:eastAsia="仿宋" w:cs="仿宋"/>
          <w:color w:val="auto"/>
          <w:sz w:val="32"/>
          <w:szCs w:val="32"/>
          <w:highlight w:val="none"/>
        </w:rPr>
        <w:t>工作，责任心强</w:t>
      </w:r>
      <w:r>
        <w:rPr>
          <w:rFonts w:hint="eastAsia" w:ascii="仿宋" w:hAnsi="仿宋" w:eastAsia="仿宋" w:cs="仿宋"/>
          <w:color w:val="auto"/>
          <w:sz w:val="32"/>
          <w:szCs w:val="32"/>
          <w:highlight w:val="none"/>
          <w:lang w:eastAsia="zh-CN"/>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（四）熟练运用广联达、晨曦、海迈、鲁班等算量和计价软件等工具；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（五）造价专业人才成员应任职于协会会员单位，或为协会个人会员。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第九条 造价专业人才库的权利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（一）向协会提出审核项目的工作结论和和造价纠纷办法。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（二）参加协会组织造价专业人才业务活动，发表个人意见和见解。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（三）享有协会颁发的造价专业人才库聘书及荣誉和称号。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（四）享有造价专业人才库的工作成果和相应报酬。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（五）享有被聘任或自愿退出造价专业人才库的权利。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第十条 造价专业人才的义务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（一）遵守国家的法律、法规和本管理暂行办法。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（二）参加协会组织造价专业人才库的有关活动，完成协会安排的工作。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（三）向协会提供工程造价专业相关资料和信息。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（四）维护协会社会形象和信誉，提高协会影响力。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第十一条 造价专业人才库人员在协会统一组织下开展业务相关活动，未经协会同意任何个人不得以协会造价专业人才库名义擅自组织任何活动，聘书仅作本协会内部造价专业人才库证书，对外无效。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第十二条 造价专业人才库成员工作变动应及时向协会办理单位更动等变更手续，如更动后所在单位不予推荐同意，协会书面通知本人退出。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第十三条 库内造价专业人才有以下情形者，协会将予以除名处理：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1、违反国家法律、法规或本管理办法；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2、不负责任，弄虚作假，未能客观公正的履行造价专业人才职责；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3、个人因身体健康、业务能力等原因不能胜任工作。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第十四条 本办法自发布之日起施行。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第十五条 本办法由协会秘书处负责解释。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泉州市建设工程造价管理协会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color w:val="000000"/>
          <w:spacing w:val="0"/>
          <w:w w:val="100"/>
          <w:kern w:val="0"/>
          <w:position w:val="0"/>
          <w:sz w:val="32"/>
          <w:szCs w:val="32"/>
          <w:shd w:val="clear" w:color="auto" w:fill="auto"/>
          <w:lang w:val="en-US" w:eastAsia="zh-CN" w:bidi="ar"/>
        </w:rPr>
      </w:pPr>
      <w:r>
        <w:rPr>
          <w:rFonts w:hint="eastAsia" w:ascii="仿宋" w:hAnsi="仿宋" w:eastAsia="仿宋" w:cs="仿宋"/>
          <w:color w:val="000000"/>
          <w:spacing w:val="0"/>
          <w:w w:val="100"/>
          <w:kern w:val="0"/>
          <w:position w:val="0"/>
          <w:sz w:val="32"/>
          <w:szCs w:val="32"/>
          <w:shd w:val="clear" w:color="auto" w:fill="auto"/>
          <w:lang w:val="en-US" w:eastAsia="zh-CN" w:bidi="ar"/>
        </w:rPr>
        <w:t xml:space="preserve">                            2023年8月28日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spacing w:val="0"/>
          <w:w w:val="100"/>
          <w:kern w:val="0"/>
          <w:position w:val="0"/>
          <w:sz w:val="28"/>
          <w:szCs w:val="28"/>
          <w:shd w:val="clear" w:color="auto" w:fill="auto"/>
          <w:lang w:val="en-US" w:eastAsia="zh-CN" w:bidi="ar"/>
        </w:rPr>
      </w:pPr>
    </w:p>
    <w:tbl>
      <w:tblPr>
        <w:tblStyle w:val="5"/>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4500"/>
        <w:gridCol w:w="1189"/>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46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Style w:val="19"/>
                <w:lang w:eastAsia="zh-CN" w:bidi="ar"/>
              </w:rPr>
            </w:pPr>
            <w:r>
              <w:rPr>
                <w:rStyle w:val="19"/>
                <w:lang w:eastAsia="zh-CN" w:bidi="ar"/>
              </w:rPr>
              <w:t>泉州市建设工程造价管理协会</w:t>
            </w:r>
          </w:p>
          <w:p>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Style w:val="19"/>
                <w:lang w:eastAsia="zh-CN" w:bidi="ar"/>
              </w:rPr>
              <w:t>造价专业人才库</w:t>
            </w:r>
            <w:r>
              <w:rPr>
                <w:rStyle w:val="20"/>
                <w:lang w:eastAsia="zh-CN" w:bidi="ar"/>
              </w:rPr>
              <w:t>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姓  名</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性  别</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身份证号</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手机号码</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工作单位</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职  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单位地址</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邮  箱</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毕业院校 及所学专业</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最高学历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职  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取得时间</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注册执业资格及专业</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取得时间</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从事工程造价工作年限</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申报专业</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lang w:eastAsia="zh-CN"/>
              </w:rPr>
            </w:pP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主要业绩（近五年不限于一个单位）</w:t>
            </w:r>
          </w:p>
        </w:tc>
        <w:tc>
          <w:tcPr>
            <w:tcW w:w="819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819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个人申请</w:t>
            </w:r>
          </w:p>
        </w:tc>
        <w:tc>
          <w:tcPr>
            <w:tcW w:w="8194"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本人自愿申请成为泉州市建设工程造价管理协会造价专业人才库成员。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19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申请人签字：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单位推荐意见</w:t>
            </w:r>
          </w:p>
        </w:tc>
        <w:tc>
          <w:tcPr>
            <w:tcW w:w="8194"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法定代表人签字：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19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 xml:space="preserve">               单位盖章: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7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协会审批意见</w:t>
            </w:r>
          </w:p>
        </w:tc>
        <w:tc>
          <w:tcPr>
            <w:tcW w:w="8194"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泉州市建设工程造价管理协会（章）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7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19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0"/>
                <w:w w:val="100"/>
                <w:kern w:val="0"/>
                <w:position w:val="0"/>
                <w:sz w:val="21"/>
                <w:szCs w:val="21"/>
                <w:u w:val="none"/>
                <w:shd w:val="clear" w:color="auto" w:fill="auto"/>
                <w:lang w:val="en-US" w:eastAsia="zh-CN" w:bidi="ar"/>
              </w:rPr>
              <w:t>附：学历证书、身份证复印件。在职人员需附近三个月的社保证明，退休人员附用人单位劳动聘用合同。</w:t>
            </w:r>
          </w:p>
        </w:tc>
      </w:tr>
    </w:tbl>
    <w:p>
      <w:pPr>
        <w:pStyle w:val="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spacing w:val="0"/>
          <w:w w:val="100"/>
          <w:position w:val="0"/>
          <w:sz w:val="21"/>
          <w:szCs w:val="21"/>
        </w:rPr>
      </w:pPr>
    </w:p>
    <w:p>
      <w:pPr>
        <w:pStyle w:val="8"/>
        <w:keepNext w:val="0"/>
        <w:keepLines w:val="0"/>
        <w:pageBreakBefore w:val="0"/>
        <w:widowControl w:val="0"/>
        <w:shd w:val="clear" w:color="auto" w:fill="auto"/>
        <w:kinsoku/>
        <w:wordWrap/>
        <w:overflowPunct/>
        <w:topLinePunct w:val="0"/>
        <w:autoSpaceDE/>
        <w:autoSpaceDN/>
        <w:bidi w:val="0"/>
        <w:adjustRightInd/>
        <w:snapToGrid w:val="0"/>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spacing w:val="0"/>
          <w:w w:val="100"/>
          <w:position w:val="0"/>
          <w:sz w:val="21"/>
          <w:szCs w:val="21"/>
        </w:rPr>
      </w:pPr>
    </w:p>
    <w:sectPr>
      <w:footerReference r:id="rId5" w:type="default"/>
      <w:footerReference r:id="rId6" w:type="even"/>
      <w:footnotePr>
        <w:numFmt w:val="decimal"/>
      </w:footnotePr>
      <w:pgSz w:w="11900" w:h="16840"/>
      <w:pgMar w:top="1134" w:right="1134" w:bottom="1134" w:left="1417" w:header="850" w:footer="850" w:gutter="0"/>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3751580</wp:posOffset>
              </wp:positionH>
              <wp:positionV relativeFrom="page">
                <wp:posOffset>9987915</wp:posOffset>
              </wp:positionV>
              <wp:extent cx="45720" cy="73025"/>
              <wp:effectExtent l="0" t="0" r="0" b="0"/>
              <wp:wrapNone/>
              <wp:docPr id="17" name="Shape 17"/>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txbxContent>
                    </wps:txbx>
                    <wps:bodyPr wrap="none" lIns="0" tIns="0" rIns="0" bIns="0">
                      <a:spAutoFit/>
                    </wps:bodyPr>
                  </wps:wsp>
                </a:graphicData>
              </a:graphic>
            </wp:anchor>
          </w:drawing>
        </mc:Choice>
        <mc:Fallback>
          <w:pict>
            <v:shape id="Shape 17" o:spid="_x0000_s1026" o:spt="202" type="#_x0000_t202" style="position:absolute;left:0pt;margin-left:295.4pt;margin-top:786.45pt;height:5.75pt;width:3.6pt;mso-position-horizontal-relative:page;mso-position-vertical-relative:page;mso-wrap-style:none;z-index:-251657216;mso-width-relative:page;mso-height-relative:page;" filled="f" stroked="f" coordsize="21600,21600" o:gfxdata="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StjkbYAAAA&#10;DQEAAA8AAAAAAAAAAQAgAAAAIgAAAGRycy9kb3ducmV2LnhtbFBLAQIUABQAAAAIAIdO4kC+stbF&#10;qwEAAG8DAAAOAAAAAAAAAAEAIAAAACcBAABkcnMvZTJvRG9jLnhtbFBLBQYAAAAABgAGAFkBAABE&#10;BQ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1"/>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MTcxYjRjM2VkNDFjM2QxNzI2NGJhYzEwYTczMjdiMmEifQ=="/>
  </w:docVars>
  <w:rsids>
    <w:rsidRoot w:val="00000000"/>
    <w:rsid w:val="112F5B47"/>
    <w:rsid w:val="12BB52C6"/>
    <w:rsid w:val="149A777C"/>
    <w:rsid w:val="17125479"/>
    <w:rsid w:val="1C280A6A"/>
    <w:rsid w:val="1D7E3CB9"/>
    <w:rsid w:val="1E227ADB"/>
    <w:rsid w:val="224F64A3"/>
    <w:rsid w:val="22A16179"/>
    <w:rsid w:val="248C6BB8"/>
    <w:rsid w:val="26141731"/>
    <w:rsid w:val="297A634C"/>
    <w:rsid w:val="2C7233A5"/>
    <w:rsid w:val="2D1556A6"/>
    <w:rsid w:val="4A0207A9"/>
    <w:rsid w:val="4A485D1B"/>
    <w:rsid w:val="4F0E2841"/>
    <w:rsid w:val="50345C1A"/>
    <w:rsid w:val="598D4786"/>
    <w:rsid w:val="68F24E8F"/>
    <w:rsid w:val="6BAA0129"/>
    <w:rsid w:val="743B1556"/>
    <w:rsid w:val="76B455F0"/>
    <w:rsid w:val="7BB708A7"/>
    <w:rsid w:val="7CA94C5B"/>
    <w:rsid w:val="7ED978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Body text|1_"/>
    <w:basedOn w:val="6"/>
    <w:link w:val="8"/>
    <w:qFormat/>
    <w:uiPriority w:val="0"/>
    <w:rPr>
      <w:rFonts w:ascii="宋体" w:hAnsi="宋体" w:eastAsia="宋体" w:cs="宋体"/>
      <w:sz w:val="26"/>
      <w:szCs w:val="26"/>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after="110"/>
    </w:pPr>
    <w:rPr>
      <w:rFonts w:ascii="宋体" w:hAnsi="宋体" w:eastAsia="宋体" w:cs="宋体"/>
      <w:sz w:val="26"/>
      <w:szCs w:val="26"/>
      <w:u w:val="none"/>
      <w:shd w:val="clear" w:color="auto" w:fill="auto"/>
      <w:lang w:val="zh-TW" w:eastAsia="zh-TW" w:bidi="zh-TW"/>
    </w:rPr>
  </w:style>
  <w:style w:type="character" w:customStyle="1" w:styleId="9">
    <w:name w:val="Body text|2_"/>
    <w:basedOn w:val="6"/>
    <w:link w:val="10"/>
    <w:qFormat/>
    <w:uiPriority w:val="0"/>
    <w:rPr>
      <w:sz w:val="26"/>
      <w:szCs w:val="26"/>
      <w:u w:val="none"/>
      <w:shd w:val="clear" w:color="auto" w:fill="auto"/>
      <w:lang w:val="zh-TW" w:eastAsia="zh-TW" w:bidi="zh-TW"/>
    </w:rPr>
  </w:style>
  <w:style w:type="paragraph" w:customStyle="1" w:styleId="10">
    <w:name w:val="Body text|2"/>
    <w:basedOn w:val="1"/>
    <w:link w:val="9"/>
    <w:qFormat/>
    <w:uiPriority w:val="0"/>
    <w:pPr>
      <w:widowControl w:val="0"/>
      <w:shd w:val="clear" w:color="auto" w:fill="auto"/>
    </w:pPr>
    <w:rPr>
      <w:sz w:val="26"/>
      <w:szCs w:val="26"/>
      <w:u w:val="none"/>
      <w:shd w:val="clear" w:color="auto" w:fill="auto"/>
      <w:lang w:val="zh-TW" w:eastAsia="zh-TW" w:bidi="zh-TW"/>
    </w:rPr>
  </w:style>
  <w:style w:type="character" w:customStyle="1" w:styleId="11">
    <w:name w:val="Body text|3_"/>
    <w:basedOn w:val="6"/>
    <w:link w:val="12"/>
    <w:qFormat/>
    <w:uiPriority w:val="0"/>
    <w:rPr>
      <w:sz w:val="17"/>
      <w:szCs w:val="17"/>
      <w:u w:val="none"/>
      <w:shd w:val="clear" w:color="auto" w:fill="auto"/>
      <w:lang w:val="zh-CN"/>
    </w:rPr>
  </w:style>
  <w:style w:type="paragraph" w:customStyle="1" w:styleId="12">
    <w:name w:val="Body text|3"/>
    <w:basedOn w:val="1"/>
    <w:link w:val="11"/>
    <w:qFormat/>
    <w:uiPriority w:val="0"/>
    <w:pPr>
      <w:widowControl w:val="0"/>
      <w:shd w:val="clear" w:color="auto" w:fill="auto"/>
    </w:pPr>
    <w:rPr>
      <w:sz w:val="17"/>
      <w:szCs w:val="17"/>
      <w:u w:val="none"/>
      <w:shd w:val="clear" w:color="auto" w:fill="auto"/>
      <w:lang w:val="zh-CN"/>
    </w:rPr>
  </w:style>
  <w:style w:type="character" w:customStyle="1" w:styleId="13">
    <w:name w:val="Heading #2|1_"/>
    <w:basedOn w:val="6"/>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Heading #2|1"/>
    <w:basedOn w:val="1"/>
    <w:link w:val="13"/>
    <w:qFormat/>
    <w:uiPriority w:val="0"/>
    <w:pPr>
      <w:widowControl w:val="0"/>
      <w:shd w:val="clear" w:color="auto" w:fill="auto"/>
      <w:spacing w:after="620"/>
      <w:ind w:firstLine="160"/>
      <w:outlineLvl w:val="1"/>
    </w:pPr>
    <w:rPr>
      <w:rFonts w:ascii="宋体" w:hAnsi="宋体" w:eastAsia="宋体" w:cs="宋体"/>
      <w:sz w:val="30"/>
      <w:szCs w:val="30"/>
      <w:u w:val="none"/>
      <w:shd w:val="clear" w:color="auto" w:fill="auto"/>
      <w:lang w:val="zh-TW" w:eastAsia="zh-TW" w:bidi="zh-TW"/>
    </w:rPr>
  </w:style>
  <w:style w:type="character" w:customStyle="1" w:styleId="15">
    <w:name w:val="Header or footer|2_"/>
    <w:basedOn w:val="6"/>
    <w:link w:val="16"/>
    <w:qFormat/>
    <w:uiPriority w:val="0"/>
    <w:rPr>
      <w:sz w:val="20"/>
      <w:szCs w:val="20"/>
      <w:u w:val="none"/>
      <w:shd w:val="clear" w:color="auto" w:fill="auto"/>
      <w:lang w:val="zh-TW" w:eastAsia="zh-TW" w:bidi="zh-TW"/>
    </w:rPr>
  </w:style>
  <w:style w:type="paragraph" w:customStyle="1" w:styleId="16">
    <w:name w:val="Header or footer|2"/>
    <w:basedOn w:val="1"/>
    <w:link w:val="15"/>
    <w:qFormat/>
    <w:uiPriority w:val="0"/>
    <w:pPr>
      <w:widowControl w:val="0"/>
      <w:shd w:val="clear" w:color="auto" w:fill="auto"/>
    </w:pPr>
    <w:rPr>
      <w:sz w:val="20"/>
      <w:szCs w:val="20"/>
      <w:u w:val="none"/>
      <w:shd w:val="clear" w:color="auto" w:fill="auto"/>
      <w:lang w:val="zh-TW" w:eastAsia="zh-TW" w:bidi="zh-TW"/>
    </w:rPr>
  </w:style>
  <w:style w:type="character" w:customStyle="1" w:styleId="17">
    <w:name w:val="Heading #1|1_"/>
    <w:basedOn w:val="6"/>
    <w:link w:val="18"/>
    <w:qFormat/>
    <w:uiPriority w:val="0"/>
    <w:rPr>
      <w:rFonts w:ascii="宋体" w:hAnsi="宋体" w:eastAsia="宋体" w:cs="宋体"/>
      <w:sz w:val="34"/>
      <w:szCs w:val="34"/>
      <w:u w:val="none"/>
      <w:shd w:val="clear" w:color="auto" w:fill="auto"/>
      <w:lang w:val="zh-TW" w:eastAsia="zh-TW" w:bidi="zh-TW"/>
    </w:rPr>
  </w:style>
  <w:style w:type="paragraph" w:customStyle="1" w:styleId="18">
    <w:name w:val="Heading #1|1"/>
    <w:basedOn w:val="1"/>
    <w:link w:val="17"/>
    <w:qFormat/>
    <w:uiPriority w:val="0"/>
    <w:pPr>
      <w:widowControl w:val="0"/>
      <w:shd w:val="clear" w:color="auto" w:fill="auto"/>
      <w:spacing w:after="440"/>
      <w:jc w:val="center"/>
      <w:outlineLvl w:val="0"/>
    </w:pPr>
    <w:rPr>
      <w:rFonts w:ascii="宋体" w:hAnsi="宋体" w:eastAsia="宋体" w:cs="宋体"/>
      <w:sz w:val="34"/>
      <w:szCs w:val="34"/>
      <w:u w:val="none"/>
      <w:shd w:val="clear" w:color="auto" w:fill="auto"/>
      <w:lang w:val="zh-TW" w:eastAsia="zh-TW" w:bidi="zh-TW"/>
    </w:rPr>
  </w:style>
  <w:style w:type="character" w:customStyle="1" w:styleId="19">
    <w:name w:val="font21"/>
    <w:basedOn w:val="6"/>
    <w:qFormat/>
    <w:uiPriority w:val="0"/>
    <w:rPr>
      <w:rFonts w:hint="eastAsia" w:ascii="黑体" w:hAnsi="宋体" w:eastAsia="黑体" w:cs="黑体"/>
      <w:b/>
      <w:bCs/>
      <w:color w:val="000000"/>
      <w:sz w:val="36"/>
      <w:szCs w:val="36"/>
      <w:u w:val="none"/>
    </w:rPr>
  </w:style>
  <w:style w:type="character" w:customStyle="1" w:styleId="20">
    <w:name w:val="font51"/>
    <w:basedOn w:val="6"/>
    <w:qFormat/>
    <w:uiPriority w:val="0"/>
    <w:rPr>
      <w:rFonts w:hint="eastAsia" w:ascii="黑体" w:hAnsi="宋体" w:eastAsia="黑体" w:cs="黑体"/>
      <w:b/>
      <w:bCs/>
      <w:color w:val="000000"/>
      <w:sz w:val="36"/>
      <w:szCs w:val="36"/>
      <w:u w:val="none"/>
    </w:rPr>
  </w:style>
  <w:style w:type="character" w:customStyle="1" w:styleId="21">
    <w:name w:val="font11"/>
    <w:basedOn w:val="6"/>
    <w:qFormat/>
    <w:uiPriority w:val="0"/>
    <w:rPr>
      <w:rFonts w:hint="eastAsia" w:ascii="仿宋" w:hAnsi="仿宋" w:eastAsia="仿宋" w:cs="仿宋"/>
      <w:color w:val="000000"/>
      <w:sz w:val="28"/>
      <w:szCs w:val="28"/>
      <w:u w:val="none"/>
    </w:rPr>
  </w:style>
  <w:style w:type="character" w:customStyle="1" w:styleId="22">
    <w:name w:val="font41"/>
    <w:basedOn w:val="6"/>
    <w:qFormat/>
    <w:uiPriority w:val="0"/>
    <w:rPr>
      <w:rFonts w:ascii="Wingdings 2" w:hAnsi="Wingdings 2" w:eastAsia="Wingdings 2" w:cs="Wingdings 2"/>
      <w:color w:val="000000"/>
      <w:sz w:val="28"/>
      <w:szCs w:val="28"/>
      <w:u w:val="none"/>
    </w:rPr>
  </w:style>
  <w:style w:type="character" w:customStyle="1" w:styleId="23">
    <w:name w:val="font3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1436</Words>
  <Characters>1447</Characters>
  <TotalTime>7</TotalTime>
  <ScaleCrop>false</ScaleCrop>
  <LinksUpToDate>false</LinksUpToDate>
  <CharactersWithSpaces>1632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2023-06-26T08:16:00Z</dcterms:created>
  <dc:creator>黄文红</dc:creator>
  <cp:lastModifiedBy>ヾ`Destinyぞ--</cp:lastModifiedBy>
  <cp:lastPrinted>2023-08-28T07:27:22Z</cp:lastPrinted>
  <dcterms:modified xsi:type="dcterms:W3CDTF">2023-08-28T07:35:06Z</dcterms:modified>
  <dc:title>45BW-5e-20230616155214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B31122A2B65F4974937AD463387C8067_13</vt:lpwstr>
  </property>
</Properties>
</file>